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23C4" w14:textId="77777777" w:rsidR="00FE4CC1" w:rsidRPr="003C3D52" w:rsidRDefault="00FE4CC1" w:rsidP="003C3D52">
      <w:pPr>
        <w:pStyle w:val="Heading1"/>
        <w:jc w:val="center"/>
        <w:rPr>
          <w:sz w:val="36"/>
          <w:szCs w:val="36"/>
        </w:rPr>
      </w:pPr>
      <w:r w:rsidRPr="003C3D52">
        <w:rPr>
          <w:sz w:val="36"/>
          <w:szCs w:val="36"/>
        </w:rPr>
        <w:t>PRACTICE FAIR PROCESSING</w:t>
      </w:r>
    </w:p>
    <w:p w14:paraId="359FE2C8" w14:textId="77777777" w:rsidR="00FE4CC1" w:rsidRPr="003C3D52" w:rsidRDefault="00FE4CC1" w:rsidP="003C3D52">
      <w:pPr>
        <w:pStyle w:val="Heading1"/>
        <w:jc w:val="center"/>
        <w:rPr>
          <w:sz w:val="36"/>
          <w:szCs w:val="36"/>
        </w:rPr>
      </w:pPr>
      <w:r w:rsidRPr="003C3D52">
        <w:rPr>
          <w:sz w:val="36"/>
          <w:szCs w:val="36"/>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1714CB11" w14:textId="77777777" w:rsidR="006B78F9" w:rsidRDefault="00FE4CC1" w:rsidP="006B78F9">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xml:space="preserve">, social services).  These records may </w:t>
      </w:r>
      <w:r w:rsidRPr="007E3C8A">
        <w:rPr>
          <w:rFonts w:ascii="Arial" w:hAnsi="Arial" w:cs="Arial"/>
          <w:sz w:val="24"/>
          <w:szCs w:val="24"/>
          <w:lang w:val="en"/>
        </w:rPr>
        <w:lastRenderedPageBreak/>
        <w:t>be electronic, a paper record or a mixture of both.  We use a combination of technologies and working practices to ensure that we keep your information secure and confidential.</w:t>
      </w:r>
    </w:p>
    <w:p w14:paraId="4222CD18" w14:textId="0E464A0A" w:rsidR="00F16AEB" w:rsidRPr="006B78F9" w:rsidRDefault="006B78F9" w:rsidP="006B78F9">
      <w:pPr>
        <w:jc w:val="both"/>
        <w:rPr>
          <w:rFonts w:ascii="Arial" w:hAnsi="Arial" w:cs="Arial"/>
          <w:sz w:val="24"/>
          <w:szCs w:val="24"/>
          <w:lang w:val="en"/>
        </w:rPr>
      </w:pPr>
      <w:r>
        <w:rPr>
          <w:rFonts w:ascii="Arial" w:hAnsi="Arial" w:cs="Arial"/>
          <w:sz w:val="24"/>
          <w:szCs w:val="24"/>
          <w:lang w:val="en"/>
        </w:rPr>
        <w:t xml:space="preserve">Beechwood Surgery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where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See what is meant by confidential patient </w:t>
      </w:r>
      <w:proofErr w:type="gramStart"/>
      <w:r w:rsidRPr="00517726">
        <w:rPr>
          <w:rFonts w:ascii="Arial" w:hAnsi="Arial" w:cs="Arial"/>
          <w:sz w:val="24"/>
          <w:szCs w:val="24"/>
        </w:rPr>
        <w:t>information</w:t>
      </w:r>
      <w:proofErr w:type="gramEnd"/>
    </w:p>
    <w:p w14:paraId="4D73B050" w14:textId="77777777"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examples of when confidential patient information is used for individual care and examples of when it is used for purposes beyond individual </w:t>
      </w:r>
      <w:proofErr w:type="gramStart"/>
      <w:r w:rsidRPr="00517726">
        <w:rPr>
          <w:rFonts w:ascii="Arial" w:hAnsi="Arial" w:cs="Arial"/>
          <w:sz w:val="24"/>
          <w:szCs w:val="24"/>
        </w:rPr>
        <w:t>care</w:t>
      </w:r>
      <w:proofErr w:type="gramEnd"/>
    </w:p>
    <w:p w14:paraId="6A3FDCEE" w14:textId="77777777"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out more about the benefits of sharing </w:t>
      </w:r>
      <w:proofErr w:type="gramStart"/>
      <w:r w:rsidRPr="00517726">
        <w:rPr>
          <w:rFonts w:ascii="Arial" w:hAnsi="Arial" w:cs="Arial"/>
          <w:sz w:val="24"/>
          <w:szCs w:val="24"/>
        </w:rPr>
        <w:t>data</w:t>
      </w:r>
      <w:proofErr w:type="gramEnd"/>
    </w:p>
    <w:p w14:paraId="2F0B7792" w14:textId="77777777"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Understand more about who uses the </w:t>
      </w:r>
      <w:proofErr w:type="gramStart"/>
      <w:r w:rsidRPr="00517726">
        <w:rPr>
          <w:rFonts w:ascii="Arial" w:hAnsi="Arial" w:cs="Arial"/>
          <w:sz w:val="24"/>
          <w:szCs w:val="24"/>
        </w:rPr>
        <w:t>data</w:t>
      </w:r>
      <w:proofErr w:type="gramEnd"/>
    </w:p>
    <w:p w14:paraId="65F6DF19" w14:textId="77777777"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out how your data is </w:t>
      </w:r>
      <w:proofErr w:type="gramStart"/>
      <w:r w:rsidRPr="00517726">
        <w:rPr>
          <w:rFonts w:ascii="Arial" w:hAnsi="Arial" w:cs="Arial"/>
          <w:sz w:val="24"/>
          <w:szCs w:val="24"/>
        </w:rPr>
        <w:t>protected</w:t>
      </w:r>
      <w:proofErr w:type="gramEnd"/>
    </w:p>
    <w:p w14:paraId="4AD9B1BA" w14:textId="77777777"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B78F9">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See the situations where the opt-out will not </w:t>
      </w:r>
      <w:proofErr w:type="gramStart"/>
      <w:r w:rsidRPr="00517726">
        <w:rPr>
          <w:rFonts w:ascii="Arial" w:hAnsi="Arial" w:cs="Arial"/>
          <w:sz w:val="24"/>
          <w:szCs w:val="24"/>
        </w:rPr>
        <w:t>apply</w:t>
      </w:r>
      <w:proofErr w:type="gramEnd"/>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000000"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000000"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w:t>
      </w:r>
      <w:proofErr w:type="gramStart"/>
      <w:r w:rsidRPr="007E3C8A">
        <w:rPr>
          <w:rFonts w:ascii="Arial" w:hAnsi="Arial" w:cs="Arial"/>
          <w:sz w:val="24"/>
          <w:szCs w:val="24"/>
        </w:rPr>
        <w:t>services</w:t>
      </w:r>
      <w:proofErr w:type="gramEnd"/>
    </w:p>
    <w:p w14:paraId="7816CB49"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lastRenderedPageBreak/>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565D9300" w14:textId="77777777" w:rsidR="0052387D" w:rsidRDefault="0052387D" w:rsidP="006E559B">
      <w:pPr>
        <w:spacing w:after="160"/>
        <w:jc w:val="both"/>
        <w:rPr>
          <w:rFonts w:ascii="Arial" w:hAnsi="Arial" w:cs="Arial"/>
          <w:b/>
          <w:bCs/>
          <w:sz w:val="24"/>
          <w:szCs w:val="24"/>
          <w:u w:val="single"/>
        </w:rPr>
      </w:pPr>
    </w:p>
    <w:p w14:paraId="6A82F8F6" w14:textId="77777777" w:rsidR="0052387D" w:rsidRDefault="0052387D" w:rsidP="006E559B">
      <w:pPr>
        <w:spacing w:after="160"/>
        <w:jc w:val="both"/>
        <w:rPr>
          <w:rFonts w:ascii="Arial" w:hAnsi="Arial" w:cs="Arial"/>
          <w:b/>
          <w:bCs/>
          <w:sz w:val="24"/>
          <w:szCs w:val="24"/>
          <w:u w:val="single"/>
        </w:rPr>
      </w:pPr>
    </w:p>
    <w:p w14:paraId="1C14FE7F" w14:textId="5EDD4A9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lastRenderedPageBreak/>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PCNs build on existing primary care services and enable greater provision of proactive, personalised, </w:t>
      </w:r>
      <w:proofErr w:type="gramStart"/>
      <w:r w:rsidRPr="00843FBD">
        <w:rPr>
          <w:rFonts w:ascii="Arial" w:hAnsi="Arial" w:cs="Arial"/>
          <w:bCs/>
          <w:sz w:val="24"/>
          <w:szCs w:val="24"/>
        </w:rPr>
        <w:t>coordinated</w:t>
      </w:r>
      <w:proofErr w:type="gramEnd"/>
      <w:r w:rsidRPr="00843FBD">
        <w:rPr>
          <w:rFonts w:ascii="Arial" w:hAnsi="Arial" w:cs="Arial"/>
          <w:bCs/>
          <w:sz w:val="24"/>
          <w:szCs w:val="24"/>
        </w:rPr>
        <w:t xml:space="preserve"> and more integrated health and social care for people close to home. Clinicians describe this as a change from reactively providing appointments to proactively caring for the people and communities they serve.</w:t>
      </w:r>
    </w:p>
    <w:p w14:paraId="59C06008" w14:textId="431F17CD" w:rsidR="006B78F9" w:rsidRPr="006B78F9" w:rsidRDefault="009151C4" w:rsidP="006B78F9">
      <w:pPr>
        <w:spacing w:after="160" w:line="256" w:lineRule="auto"/>
        <w:jc w:val="both"/>
        <w:rPr>
          <w:rFonts w:ascii="Arial" w:hAnsi="Arial" w:cs="Arial"/>
          <w:bCs/>
          <w:sz w:val="24"/>
          <w:szCs w:val="24"/>
        </w:rPr>
      </w:pPr>
      <w:r w:rsidRPr="00843FBD">
        <w:rPr>
          <w:rFonts w:ascii="Arial" w:hAnsi="Arial" w:cs="Arial"/>
          <w:bCs/>
          <w:sz w:val="24"/>
          <w:szCs w:val="24"/>
        </w:rPr>
        <w:t>We are part of the</w:t>
      </w:r>
      <w:r w:rsidR="006B78F9">
        <w:rPr>
          <w:rFonts w:ascii="Arial" w:hAnsi="Arial" w:cs="Arial"/>
          <w:bCs/>
          <w:sz w:val="24"/>
          <w:szCs w:val="24"/>
        </w:rPr>
        <w:t xml:space="preserve"> Basildon and Brentwood </w:t>
      </w:r>
      <w:r w:rsidRPr="00843FBD">
        <w:rPr>
          <w:rFonts w:ascii="Arial" w:hAnsi="Arial" w:cs="Arial"/>
          <w:bCs/>
          <w:sz w:val="24"/>
          <w:szCs w:val="24"/>
        </w:rPr>
        <w:t>PCN (Primary Care Network) which is a network of GPs practices established to provide integrated services to the local population. Members of the network are</w:t>
      </w:r>
      <w:r w:rsidR="006B78F9">
        <w:rPr>
          <w:rFonts w:ascii="Arial" w:hAnsi="Arial" w:cs="Arial"/>
          <w:bCs/>
          <w:sz w:val="24"/>
          <w:szCs w:val="24"/>
        </w:rPr>
        <w:t xml:space="preserve"> </w:t>
      </w:r>
      <w:r w:rsidR="006B78F9" w:rsidRPr="006B78F9">
        <w:rPr>
          <w:rFonts w:ascii="Arial" w:hAnsi="Arial" w:cs="Arial"/>
          <w:sz w:val="24"/>
          <w:szCs w:val="24"/>
          <w:shd w:val="clear" w:color="auto" w:fill="FFFFFF"/>
        </w:rPr>
        <w:t xml:space="preserve">Tile House Surgery, The New Surgery, Mount Avenue Surgery, </w:t>
      </w:r>
      <w:proofErr w:type="spellStart"/>
      <w:r w:rsidR="006B78F9" w:rsidRPr="006B78F9">
        <w:rPr>
          <w:rFonts w:ascii="Arial" w:hAnsi="Arial" w:cs="Arial"/>
          <w:sz w:val="24"/>
          <w:szCs w:val="24"/>
          <w:shd w:val="clear" w:color="auto" w:fill="FFFFFF"/>
        </w:rPr>
        <w:t>Rockleigh</w:t>
      </w:r>
      <w:proofErr w:type="spellEnd"/>
      <w:r w:rsidR="006B78F9" w:rsidRPr="006B78F9">
        <w:rPr>
          <w:rFonts w:ascii="Arial" w:hAnsi="Arial" w:cs="Arial"/>
          <w:sz w:val="24"/>
          <w:szCs w:val="24"/>
          <w:shd w:val="clear" w:color="auto" w:fill="FFFFFF"/>
        </w:rPr>
        <w:t xml:space="preserve"> Court Surgery, The New Folly Surgery, Deal Tree Health Centre &amp; The Highwood Surgery</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3D95F678"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B78F9">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B78F9">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FA076E" w:rsidRDefault="00133589" w:rsidP="006B78F9">
      <w:pPr>
        <w:numPr>
          <w:ilvl w:val="0"/>
          <w:numId w:val="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6B78F9">
      <w:pPr>
        <w:numPr>
          <w:ilvl w:val="1"/>
          <w:numId w:val="3"/>
        </w:numPr>
        <w:spacing w:after="160" w:line="256" w:lineRule="auto"/>
        <w:jc w:val="both"/>
        <w:rPr>
          <w:rFonts w:ascii="Arial" w:hAnsi="Arial" w:cs="Arial"/>
          <w:bCs/>
          <w:sz w:val="24"/>
          <w:szCs w:val="24"/>
        </w:rPr>
      </w:pPr>
      <w:r w:rsidRPr="40EDABCB">
        <w:rPr>
          <w:rFonts w:ascii="Arial" w:hAnsi="Arial" w:cs="Arial"/>
          <w:sz w:val="24"/>
          <w:szCs w:val="24"/>
        </w:rPr>
        <w:lastRenderedPageBreak/>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6B78F9">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B78F9">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B78F9">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B78F9">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B78F9">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B78F9">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3276033C" w:rsidR="0079224E" w:rsidRPr="00843FBD" w:rsidRDefault="005411F1" w:rsidP="006B78F9">
      <w:pPr>
        <w:numPr>
          <w:ilvl w:val="0"/>
          <w:numId w:val="3"/>
        </w:numPr>
        <w:spacing w:after="160" w:line="256" w:lineRule="auto"/>
        <w:jc w:val="both"/>
        <w:rPr>
          <w:rFonts w:ascii="Arial" w:hAnsi="Arial" w:cs="Arial"/>
          <w:bCs/>
          <w:sz w:val="24"/>
          <w:szCs w:val="24"/>
        </w:rPr>
      </w:pPr>
      <w:r>
        <w:rPr>
          <w:rFonts w:ascii="Arial" w:hAnsi="Arial" w:cs="Arial"/>
          <w:bCs/>
          <w:sz w:val="24"/>
          <w:szCs w:val="24"/>
        </w:rPr>
        <w:t>E-Consult</w:t>
      </w:r>
    </w:p>
    <w:p w14:paraId="2A0D59A4" w14:textId="3C10F2F2" w:rsidR="005411F1" w:rsidRDefault="005411F1" w:rsidP="006B78F9">
      <w:pPr>
        <w:pStyle w:val="ListParagraph"/>
        <w:numPr>
          <w:ilvl w:val="0"/>
          <w:numId w:val="4"/>
        </w:numPr>
        <w:ind w:left="1440"/>
        <w:jc w:val="both"/>
        <w:rPr>
          <w:rFonts w:ascii="Arial" w:hAnsi="Arial" w:cs="Arial"/>
          <w:color w:val="000000"/>
        </w:rPr>
      </w:pPr>
      <w:r w:rsidRPr="00E14AA7">
        <w:rPr>
          <w:rFonts w:ascii="Arial" w:hAnsi="Arial" w:cs="Arial"/>
          <w:color w:val="000000"/>
        </w:rPr>
        <w:t>E</w:t>
      </w:r>
      <w:r>
        <w:rPr>
          <w:rFonts w:ascii="Arial" w:hAnsi="Arial" w:cs="Arial"/>
          <w:color w:val="000000"/>
        </w:rPr>
        <w:t>-</w:t>
      </w:r>
      <w:r w:rsidRPr="00E14AA7">
        <w:rPr>
          <w:rFonts w:ascii="Arial" w:hAnsi="Arial" w:cs="Arial"/>
          <w:color w:val="000000"/>
        </w:rPr>
        <w:t>Consult provides a text-based clinical consultation service which guides patients through a consultation algorithm to assess their symptoms and recommend appropriate next steps, which may include arranging a GP appointment, self-care advice or signposting to other services (</w:t>
      </w:r>
      <w:proofErr w:type="gramStart"/>
      <w:r w:rsidRPr="00E14AA7">
        <w:rPr>
          <w:rFonts w:ascii="Arial" w:hAnsi="Arial" w:cs="Arial"/>
          <w:color w:val="000000"/>
        </w:rPr>
        <w:t>e.g.</w:t>
      </w:r>
      <w:proofErr w:type="gramEnd"/>
      <w:r w:rsidRPr="00E14AA7">
        <w:rPr>
          <w:rFonts w:ascii="Arial" w:hAnsi="Arial" w:cs="Arial"/>
          <w:color w:val="000000"/>
        </w:rPr>
        <w:t xml:space="preserve"> NHS111, pharmacies etc.). It does not facilitate real-time consultations between patients and GPs but does make GPs aware of all assessments undertaken on their patients. </w:t>
      </w:r>
    </w:p>
    <w:p w14:paraId="0ECC68A1" w14:textId="6FE3303A" w:rsidR="006B78F9" w:rsidRDefault="006B78F9" w:rsidP="006B78F9">
      <w:pPr>
        <w:pStyle w:val="ListParagraph"/>
        <w:numPr>
          <w:ilvl w:val="0"/>
          <w:numId w:val="4"/>
        </w:numPr>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Artemx</w:t>
      </w:r>
      <w:proofErr w:type="spellEnd"/>
    </w:p>
    <w:p w14:paraId="79BE0AB7" w14:textId="5F81B542" w:rsidR="006B78F9" w:rsidRPr="006B78F9" w:rsidRDefault="006B78F9" w:rsidP="006B78F9">
      <w:pPr>
        <w:pStyle w:val="ListParagraph"/>
        <w:numPr>
          <w:ilvl w:val="0"/>
          <w:numId w:val="5"/>
        </w:numPr>
        <w:jc w:val="both"/>
        <w:rPr>
          <w:rFonts w:ascii="Arial" w:hAnsi="Arial" w:cs="Arial"/>
          <w:color w:val="000000"/>
        </w:rPr>
      </w:pPr>
      <w:r>
        <w:rPr>
          <w:rFonts w:ascii="Arial" w:hAnsi="Arial" w:cs="Arial"/>
          <w:color w:val="000000"/>
        </w:rPr>
        <w:t xml:space="preserve">We may share your data (including basic identifiers, postal address, telephone number and health data) with </w:t>
      </w:r>
      <w:proofErr w:type="spellStart"/>
      <w:r>
        <w:rPr>
          <w:rFonts w:ascii="Arial" w:hAnsi="Arial" w:cs="Arial"/>
          <w:color w:val="000000"/>
        </w:rPr>
        <w:t>Artemx</w:t>
      </w:r>
      <w:proofErr w:type="spellEnd"/>
      <w:r>
        <w:rPr>
          <w:rFonts w:ascii="Arial" w:hAnsi="Arial" w:cs="Arial"/>
          <w:color w:val="000000"/>
        </w:rPr>
        <w:t xml:space="preserve"> so that they can analyse this data to automate patient care, such as providing automatic patient recall for the </w:t>
      </w:r>
      <w:r>
        <w:rPr>
          <w:rFonts w:ascii="Arial" w:hAnsi="Arial" w:cs="Arial"/>
          <w:color w:val="000000"/>
        </w:rPr>
        <w:lastRenderedPageBreak/>
        <w:t xml:space="preserve">purpose of optimised care for patients living with multiple long-term health conditions. We have a binding contract with </w:t>
      </w:r>
      <w:proofErr w:type="spellStart"/>
      <w:r>
        <w:rPr>
          <w:rFonts w:ascii="Arial" w:hAnsi="Arial" w:cs="Arial"/>
          <w:color w:val="000000"/>
        </w:rPr>
        <w:t>Artemx</w:t>
      </w:r>
      <w:proofErr w:type="spellEnd"/>
      <w:r>
        <w:rPr>
          <w:rFonts w:ascii="Arial" w:hAnsi="Arial" w:cs="Arial"/>
          <w:color w:val="000000"/>
        </w:rPr>
        <w:t xml:space="preserve"> that restricts their handling of your personal data to only what is necessary in performance of their contract. This contract details how personal data should be handled and ensures your data is </w:t>
      </w:r>
      <w:proofErr w:type="gramStart"/>
      <w:r>
        <w:rPr>
          <w:rFonts w:ascii="Arial" w:hAnsi="Arial" w:cs="Arial"/>
          <w:color w:val="000000"/>
        </w:rPr>
        <w:t>protected at all times</w:t>
      </w:r>
      <w:proofErr w:type="gramEnd"/>
      <w:r>
        <w:rPr>
          <w:rFonts w:ascii="Arial" w:hAnsi="Arial" w:cs="Arial"/>
          <w:color w:val="000000"/>
        </w:rPr>
        <w:t xml:space="preserve">. </w:t>
      </w:r>
    </w:p>
    <w:p w14:paraId="35E2FFBA" w14:textId="24BA77F4" w:rsidR="00F759BF" w:rsidRPr="00E14AA7" w:rsidRDefault="00F759BF" w:rsidP="00F759BF">
      <w:pPr>
        <w:ind w:left="720"/>
        <w:jc w:val="both"/>
        <w:rPr>
          <w:rFonts w:ascii="Arial" w:hAnsi="Arial" w:cs="Arial"/>
          <w:color w:val="000000"/>
          <w:sz w:val="24"/>
          <w:szCs w:val="24"/>
          <w:lang w:eastAsia="en-GB"/>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000000"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health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Medications </w:t>
      </w:r>
      <w:proofErr w:type="gramStart"/>
      <w:r w:rsidRPr="005919C5">
        <w:rPr>
          <w:rFonts w:ascii="Arial" w:hAnsi="Arial" w:cs="Arial"/>
          <w:sz w:val="24"/>
          <w:szCs w:val="24"/>
        </w:rPr>
        <w:t>prescribed</w:t>
      </w:r>
      <w:proofErr w:type="gramEnd"/>
    </w:p>
    <w:p w14:paraId="16989AD4" w14:textId="77777777" w:rsidR="00544461" w:rsidRDefault="00544461"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Data is also processed by Arden &amp; GEM Commissioning Support Unit</w:t>
      </w:r>
      <w:r w:rsidR="005919C5">
        <w:rPr>
          <w:rFonts w:ascii="Arial" w:hAnsi="Arial" w:cs="Arial"/>
          <w:bCs/>
          <w:sz w:val="24"/>
          <w:szCs w:val="24"/>
        </w:rPr>
        <w:t xml:space="preserve"> and Mid and South Essex ICB.</w:t>
      </w:r>
    </w:p>
    <w:p w14:paraId="4D8191FB" w14:textId="77777777" w:rsidR="0077320B" w:rsidRDefault="0077320B" w:rsidP="006E559B">
      <w:pPr>
        <w:spacing w:after="160" w:line="256" w:lineRule="auto"/>
        <w:jc w:val="both"/>
        <w:rPr>
          <w:rFonts w:ascii="Arial" w:hAnsi="Arial" w:cs="Arial"/>
          <w:b/>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 xml:space="preserve">out </w:t>
      </w:r>
      <w:proofErr w:type="gramStart"/>
      <w:r w:rsidRPr="007E3C8A">
        <w:rPr>
          <w:rFonts w:ascii="Arial" w:hAnsi="Arial" w:cs="Arial"/>
          <w:b/>
          <w:sz w:val="24"/>
          <w:szCs w:val="24"/>
        </w:rPr>
        <w:t>details</w:t>
      </w:r>
      <w:proofErr w:type="gramEnd"/>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lastRenderedPageBreak/>
        <w:t>Gender</w:t>
      </w:r>
    </w:p>
    <w:p w14:paraId="7AE33453" w14:textId="5F7F739D"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Medications </w:t>
      </w:r>
      <w:proofErr w:type="gramStart"/>
      <w:r w:rsidRPr="005919C5">
        <w:rPr>
          <w:rFonts w:ascii="Arial" w:hAnsi="Arial" w:cs="Arial"/>
          <w:sz w:val="24"/>
          <w:szCs w:val="24"/>
        </w:rPr>
        <w:t>prescribed</w:t>
      </w:r>
      <w:proofErr w:type="gramEnd"/>
    </w:p>
    <w:p w14:paraId="3D8C9227" w14:textId="2EA8DF6B" w:rsid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Article 6 (1) (e) – processing is necessary for the performance of a task in the public interest or in the exercise of official authority vested in the </w:t>
      </w:r>
      <w:proofErr w:type="gramStart"/>
      <w:r w:rsidRPr="005919C5">
        <w:rPr>
          <w:rFonts w:ascii="Arial" w:hAnsi="Arial" w:cs="Arial"/>
          <w:bCs/>
          <w:sz w:val="24"/>
          <w:szCs w:val="24"/>
        </w:rPr>
        <w:t>controller</w:t>
      </w:r>
      <w:proofErr w:type="gramEnd"/>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919C5">
        <w:rPr>
          <w:rFonts w:ascii="Arial" w:hAnsi="Arial" w:cs="Arial"/>
          <w:bCs/>
          <w:sz w:val="24"/>
          <w:szCs w:val="24"/>
        </w:rPr>
        <w:t>systems</w:t>
      </w:r>
      <w:proofErr w:type="gramEnd"/>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B78F9">
      <w:pPr>
        <w:numPr>
          <w:ilvl w:val="0"/>
          <w:numId w:val="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B78F9">
      <w:pPr>
        <w:numPr>
          <w:ilvl w:val="0"/>
          <w:numId w:val="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w:t>
      </w:r>
      <w:proofErr w:type="gramStart"/>
      <w:r w:rsidRPr="005919C5">
        <w:rPr>
          <w:rFonts w:ascii="Arial" w:hAnsi="Arial" w:cs="Arial"/>
          <w:b/>
          <w:sz w:val="24"/>
          <w:szCs w:val="24"/>
        </w:rPr>
        <w:t>details</w:t>
      </w:r>
      <w:proofErr w:type="gramEnd"/>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Medications </w:t>
      </w:r>
      <w:proofErr w:type="gramStart"/>
      <w:r w:rsidRPr="007E3C8A">
        <w:rPr>
          <w:rFonts w:ascii="Arial" w:hAnsi="Arial" w:cs="Arial"/>
          <w:sz w:val="24"/>
          <w:szCs w:val="24"/>
        </w:rPr>
        <w:t>prescribed</w:t>
      </w:r>
      <w:proofErr w:type="gramEnd"/>
    </w:p>
    <w:p w14:paraId="1F70EAE4" w14:textId="19811495" w:rsidR="004C53B1" w:rsidRDefault="004C53B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 xml:space="preserve">out </w:t>
      </w:r>
      <w:proofErr w:type="gramStart"/>
      <w:r w:rsidRPr="007E3C8A">
        <w:rPr>
          <w:rFonts w:ascii="Arial" w:hAnsi="Arial" w:cs="Arial"/>
          <w:b/>
          <w:bCs/>
          <w:sz w:val="24"/>
          <w:szCs w:val="24"/>
        </w:rPr>
        <w:t>details</w:t>
      </w:r>
      <w:proofErr w:type="gramEnd"/>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B78F9">
      <w:pPr>
        <w:numPr>
          <w:ilvl w:val="0"/>
          <w:numId w:val="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6B78F9" w:rsidRDefault="00FE4CC1" w:rsidP="006E559B">
      <w:pPr>
        <w:spacing w:after="160" w:line="256" w:lineRule="auto"/>
        <w:jc w:val="both"/>
        <w:rPr>
          <w:rFonts w:ascii="Arial" w:hAnsi="Arial" w:cs="Arial"/>
          <w:sz w:val="24"/>
          <w:szCs w:val="24"/>
        </w:rPr>
      </w:pPr>
      <w:r w:rsidRPr="006B78F9">
        <w:rPr>
          <w:rFonts w:ascii="Arial" w:hAnsi="Arial" w:cs="Arial"/>
          <w:sz w:val="24"/>
          <w:szCs w:val="24"/>
        </w:rPr>
        <w:t>The Practice Manager</w:t>
      </w:r>
    </w:p>
    <w:p w14:paraId="7D7DC26C" w14:textId="7452FE45" w:rsidR="00FE4CC1" w:rsidRPr="006B78F9" w:rsidRDefault="006B78F9" w:rsidP="006E559B">
      <w:pPr>
        <w:spacing w:after="160" w:line="256" w:lineRule="auto"/>
        <w:jc w:val="both"/>
        <w:rPr>
          <w:rFonts w:ascii="Arial" w:hAnsi="Arial" w:cs="Arial"/>
          <w:sz w:val="24"/>
          <w:szCs w:val="24"/>
        </w:rPr>
      </w:pPr>
      <w:r>
        <w:rPr>
          <w:rFonts w:ascii="Arial" w:hAnsi="Arial" w:cs="Arial"/>
          <w:sz w:val="24"/>
          <w:szCs w:val="24"/>
        </w:rPr>
        <w:t>Beechwood Surgery</w:t>
      </w:r>
    </w:p>
    <w:p w14:paraId="090B36EF" w14:textId="2985C2DE" w:rsidR="00517726" w:rsidRDefault="00517726" w:rsidP="006E559B">
      <w:pPr>
        <w:spacing w:after="160" w:line="256" w:lineRule="auto"/>
        <w:jc w:val="both"/>
        <w:rPr>
          <w:rFonts w:ascii="Arial" w:hAnsi="Arial" w:cs="Arial"/>
          <w:sz w:val="24"/>
          <w:szCs w:val="24"/>
        </w:rPr>
      </w:pPr>
      <w:r w:rsidRPr="006B78F9">
        <w:rPr>
          <w:rFonts w:ascii="Arial" w:hAnsi="Arial" w:cs="Arial"/>
          <w:sz w:val="24"/>
          <w:szCs w:val="24"/>
        </w:rPr>
        <w:t>Email address:</w:t>
      </w:r>
      <w:r>
        <w:rPr>
          <w:rFonts w:ascii="Arial" w:hAnsi="Arial" w:cs="Arial"/>
          <w:sz w:val="24"/>
          <w:szCs w:val="24"/>
        </w:rPr>
        <w:t xml:space="preserve"> </w:t>
      </w:r>
      <w:r w:rsidR="006B78F9">
        <w:rPr>
          <w:rFonts w:ascii="Arial" w:hAnsi="Arial" w:cs="Arial"/>
          <w:sz w:val="24"/>
          <w:szCs w:val="24"/>
        </w:rPr>
        <w:t>receptionists.beechwood@nhs.net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000000" w:rsidP="006E559B">
      <w:pPr>
        <w:spacing w:after="160"/>
        <w:jc w:val="both"/>
        <w:rPr>
          <w:rFonts w:ascii="Arial" w:hAnsi="Arial" w:cs="Arial"/>
          <w:sz w:val="24"/>
          <w:szCs w:val="24"/>
        </w:rPr>
      </w:pPr>
      <w:hyperlink r:id="rId16"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241A1D32" w14:textId="77777777" w:rsidR="0052387D" w:rsidRDefault="0052387D" w:rsidP="006E559B">
      <w:pPr>
        <w:spacing w:after="160"/>
        <w:jc w:val="both"/>
        <w:rPr>
          <w:rFonts w:ascii="Arial" w:hAnsi="Arial" w:cs="Arial"/>
          <w:b/>
          <w:bCs/>
          <w:sz w:val="24"/>
          <w:szCs w:val="24"/>
          <w:u w:val="single"/>
        </w:rPr>
      </w:pPr>
    </w:p>
    <w:p w14:paraId="4561CD43" w14:textId="3D1D3229"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lastRenderedPageBreak/>
        <w:t xml:space="preserve">Complaints </w:t>
      </w:r>
    </w:p>
    <w:p w14:paraId="60F51F8C" w14:textId="1D367001" w:rsidR="00517726"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4C739C0C" w14:textId="0B5E58EA" w:rsidR="006B78F9" w:rsidRPr="005919C5" w:rsidRDefault="006B78F9" w:rsidP="006E559B">
      <w:pPr>
        <w:spacing w:after="160" w:line="256" w:lineRule="auto"/>
        <w:jc w:val="both"/>
        <w:rPr>
          <w:rFonts w:ascii="Arial" w:hAnsi="Arial" w:cs="Arial"/>
          <w:bCs/>
          <w:sz w:val="24"/>
          <w:szCs w:val="24"/>
        </w:rPr>
      </w:pPr>
      <w:r>
        <w:rPr>
          <w:rFonts w:ascii="Arial" w:hAnsi="Arial" w:cs="Arial"/>
          <w:bCs/>
          <w:sz w:val="24"/>
          <w:szCs w:val="24"/>
        </w:rPr>
        <w:t>receptionists.beechwood@nhs.net</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000000" w:rsidP="006E559B">
      <w:pPr>
        <w:spacing w:after="160" w:line="256" w:lineRule="auto"/>
        <w:jc w:val="both"/>
        <w:rPr>
          <w:rFonts w:ascii="Arial" w:hAnsi="Arial" w:cs="Arial"/>
          <w:bCs/>
          <w:sz w:val="24"/>
          <w:szCs w:val="24"/>
        </w:rPr>
      </w:pPr>
      <w:hyperlink r:id="rId17"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B78F9">
      <w:pPr>
        <w:numPr>
          <w:ilvl w:val="0"/>
          <w:numId w:val="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B78F9">
      <w:pPr>
        <w:numPr>
          <w:ilvl w:val="0"/>
          <w:numId w:val="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8"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B78F9">
      <w:pPr>
        <w:numPr>
          <w:ilvl w:val="0"/>
          <w:numId w:val="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19"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0"/>
      <w:headerReference w:type="first" r:id="rId21"/>
      <w:footerReference w:type="first" r:id="rId22"/>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59EA" w14:textId="77777777" w:rsidR="00F13F09" w:rsidRDefault="00F13F09">
      <w:r>
        <w:separator/>
      </w:r>
    </w:p>
  </w:endnote>
  <w:endnote w:type="continuationSeparator" w:id="0">
    <w:p w14:paraId="5BB01AAC" w14:textId="77777777" w:rsidR="00F13F09" w:rsidRDefault="00F13F09">
      <w:r>
        <w:continuationSeparator/>
      </w:r>
    </w:p>
  </w:endnote>
  <w:endnote w:type="continuationNotice" w:id="1">
    <w:p w14:paraId="1A8E695F" w14:textId="77777777" w:rsidR="00F13F09" w:rsidRDefault="00F1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E733" w14:textId="77777777" w:rsidR="00F13F09" w:rsidRDefault="00F13F09">
      <w:r>
        <w:separator/>
      </w:r>
    </w:p>
  </w:footnote>
  <w:footnote w:type="continuationSeparator" w:id="0">
    <w:p w14:paraId="5763A552" w14:textId="77777777" w:rsidR="00F13F09" w:rsidRDefault="00F13F09">
      <w:r>
        <w:continuationSeparator/>
      </w:r>
    </w:p>
  </w:footnote>
  <w:footnote w:type="continuationNotice" w:id="1">
    <w:p w14:paraId="793E025F" w14:textId="77777777" w:rsidR="00F13F09" w:rsidRDefault="00F13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4269" w14:textId="20E81083" w:rsidR="009D0DF4" w:rsidRDefault="009D0DF4" w:rsidP="009D0DF4">
    <w:pPr>
      <w:jc w:val="both"/>
      <w:rPr>
        <w:rFonts w:ascii="Arial" w:hAnsi="Arial" w:cs="Arial"/>
        <w:b/>
        <w:sz w:val="36"/>
        <w:szCs w:val="36"/>
      </w:rPr>
    </w:pPr>
    <w:r w:rsidRPr="00F846BD">
      <w:rPr>
        <w:noProof/>
        <w:sz w:val="22"/>
        <w:szCs w:val="22"/>
        <w:lang w:eastAsia="en-GB"/>
      </w:rPr>
      <w:drawing>
        <wp:anchor distT="0" distB="0" distL="114300" distR="114300" simplePos="0" relativeHeight="251659264" behindDoc="1" locked="0" layoutInCell="1" allowOverlap="1" wp14:anchorId="2B82DE79" wp14:editId="5443E9BC">
          <wp:simplePos x="0" y="0"/>
          <wp:positionH relativeFrom="column">
            <wp:posOffset>5617210</wp:posOffset>
          </wp:positionH>
          <wp:positionV relativeFrom="paragraph">
            <wp:posOffset>-259715</wp:posOffset>
          </wp:positionV>
          <wp:extent cx="795020" cy="834390"/>
          <wp:effectExtent l="76200" t="57150" r="100330" b="1562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Marker/>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95020" cy="834390"/>
                  </a:xfrm>
                  <a:prstGeom prst="rect">
                    <a:avLst/>
                  </a:prstGeom>
                  <a:noFill/>
                  <a:ln>
                    <a:noFill/>
                  </a:ln>
                  <a:effectLst>
                    <a:outerShdw blurRad="50800" dist="50800" dir="5400000" algn="ctr" rotWithShape="0">
                      <a:sysClr val="window" lastClr="FFFFFF"/>
                    </a:outerShdw>
                  </a:effectLst>
                  <a:scene3d>
                    <a:camera prst="orthographicFront"/>
                    <a:lightRig rig="threePt" dir="t"/>
                  </a:scene3d>
                  <a:sp3d extrusionH="76200">
                    <a:extrusionClr>
                      <a:srgbClr val="9BBB59">
                        <a:lumMod val="75000"/>
                      </a:srgbClr>
                    </a:extrusionClr>
                  </a:sp3d>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r w:rsidRPr="00FE18C6">
      <w:rPr>
        <w:rFonts w:ascii="Arial" w:hAnsi="Arial" w:cs="Arial"/>
        <w:b/>
        <w:sz w:val="36"/>
        <w:szCs w:val="36"/>
      </w:rPr>
      <w:t>BEECHWOOD SURGERY</w:t>
    </w:r>
  </w:p>
  <w:p w14:paraId="61157382" w14:textId="77777777" w:rsidR="009D0DF4" w:rsidRPr="00FE18C6" w:rsidRDefault="009D0DF4" w:rsidP="009D0DF4">
    <w:pPr>
      <w:jc w:val="center"/>
      <w:rPr>
        <w:rFonts w:ascii="Arial" w:hAnsi="Arial" w:cs="Arial"/>
        <w:b/>
      </w:rPr>
    </w:pPr>
    <w:r w:rsidRPr="00FE18C6">
      <w:rPr>
        <w:rFonts w:ascii="Arial" w:hAnsi="Arial" w:cs="Arial"/>
        <w:b/>
      </w:rPr>
      <w:t>PASTORAL WAY, WARLEY, BRENTWOOD. CM14 5WF</w:t>
    </w:r>
  </w:p>
  <w:p w14:paraId="0EFD395E" w14:textId="77777777" w:rsidR="009D0DF4" w:rsidRDefault="009D0DF4" w:rsidP="009D0DF4">
    <w:pPr>
      <w:jc w:val="center"/>
      <w:rPr>
        <w:rFonts w:ascii="Arial" w:hAnsi="Arial" w:cs="Arial"/>
        <w:b/>
      </w:rPr>
    </w:pPr>
    <w:r w:rsidRPr="00FE18C6">
      <w:rPr>
        <w:rFonts w:ascii="Arial" w:hAnsi="Arial" w:cs="Arial"/>
        <w:b/>
      </w:rPr>
      <w:t>TEL:  01277 212820</w:t>
    </w:r>
  </w:p>
  <w:p w14:paraId="3CDD16CC" w14:textId="238E7749" w:rsidR="006738F3" w:rsidRPr="006738F3" w:rsidRDefault="006738F3" w:rsidP="009D0DF4">
    <w:pPr>
      <w:pStyle w:val="Header"/>
      <w:rPr>
        <w:rFonts w:ascii="Arial" w:hAnsi="Arial" w:cs="Arial"/>
        <w:sz w:val="24"/>
        <w:szCs w:val="24"/>
      </w:rPr>
    </w:pP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4523"/>
    <w:multiLevelType w:val="hybridMultilevel"/>
    <w:tmpl w:val="0D5840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303AF"/>
    <w:multiLevelType w:val="hybridMultilevel"/>
    <w:tmpl w:val="A97E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885824">
    <w:abstractNumId w:val="1"/>
  </w:num>
  <w:num w:numId="2" w16cid:durableId="512688697">
    <w:abstractNumId w:val="3"/>
  </w:num>
  <w:num w:numId="3" w16cid:durableId="163017197">
    <w:abstractNumId w:val="4"/>
  </w:num>
  <w:num w:numId="4" w16cid:durableId="590549037">
    <w:abstractNumId w:val="2"/>
  </w:num>
  <w:num w:numId="5" w16cid:durableId="13248972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60728"/>
    <w:rsid w:val="00260DFB"/>
    <w:rsid w:val="00281BEA"/>
    <w:rsid w:val="002A283D"/>
    <w:rsid w:val="002A64D2"/>
    <w:rsid w:val="002A6576"/>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C3D52"/>
    <w:rsid w:val="003F0470"/>
    <w:rsid w:val="003F2DC4"/>
    <w:rsid w:val="00413BC7"/>
    <w:rsid w:val="00460D27"/>
    <w:rsid w:val="004754A3"/>
    <w:rsid w:val="0047652F"/>
    <w:rsid w:val="00487983"/>
    <w:rsid w:val="004A11BB"/>
    <w:rsid w:val="004A1FB8"/>
    <w:rsid w:val="004A4422"/>
    <w:rsid w:val="004C53B1"/>
    <w:rsid w:val="004D7F13"/>
    <w:rsid w:val="005027BA"/>
    <w:rsid w:val="00510F80"/>
    <w:rsid w:val="00517726"/>
    <w:rsid w:val="0052387D"/>
    <w:rsid w:val="005307B0"/>
    <w:rsid w:val="005411F1"/>
    <w:rsid w:val="00544461"/>
    <w:rsid w:val="005761A2"/>
    <w:rsid w:val="0058782F"/>
    <w:rsid w:val="005919C5"/>
    <w:rsid w:val="0059242E"/>
    <w:rsid w:val="005A2E25"/>
    <w:rsid w:val="005A3976"/>
    <w:rsid w:val="005A4820"/>
    <w:rsid w:val="005A551A"/>
    <w:rsid w:val="005B029A"/>
    <w:rsid w:val="005B2D46"/>
    <w:rsid w:val="005E2238"/>
    <w:rsid w:val="005E603C"/>
    <w:rsid w:val="005F00E4"/>
    <w:rsid w:val="006236F7"/>
    <w:rsid w:val="00637BD2"/>
    <w:rsid w:val="006411B4"/>
    <w:rsid w:val="0064282B"/>
    <w:rsid w:val="006616CE"/>
    <w:rsid w:val="006738F3"/>
    <w:rsid w:val="00673F9D"/>
    <w:rsid w:val="00685107"/>
    <w:rsid w:val="0069240C"/>
    <w:rsid w:val="0069590A"/>
    <w:rsid w:val="00696F04"/>
    <w:rsid w:val="006B78F9"/>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0DF4"/>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AF4785"/>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83A"/>
    <w:rsid w:val="00CF7362"/>
    <w:rsid w:val="00CF76A1"/>
    <w:rsid w:val="00D00270"/>
    <w:rsid w:val="00D05478"/>
    <w:rsid w:val="00D17AEB"/>
    <w:rsid w:val="00D42E04"/>
    <w:rsid w:val="00D52790"/>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E35D1"/>
    <w:rsid w:val="00F008C0"/>
    <w:rsid w:val="00F02F88"/>
    <w:rsid w:val="00F04D89"/>
    <w:rsid w:val="00F06BFF"/>
    <w:rsid w:val="00F13274"/>
    <w:rsid w:val="00F13F09"/>
    <w:rsid w:val="00F16AEB"/>
    <w:rsid w:val="00F21791"/>
    <w:rsid w:val="00F229D7"/>
    <w:rsid w:val="00F24AB8"/>
    <w:rsid w:val="00F30E96"/>
    <w:rsid w:val="00F3247F"/>
    <w:rsid w:val="00F379C9"/>
    <w:rsid w:val="00F54A0A"/>
    <w:rsid w:val="00F759BF"/>
    <w:rsid w:val="00F81850"/>
    <w:rsid w:val="00FA076E"/>
    <w:rsid w:val="00FB4293"/>
    <w:rsid w:val="00FC1745"/>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phso.enquiries@ombudsman.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MSEGP.DPO@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www.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2.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(Adrian).dot</Template>
  <TotalTime>0</TotalTime>
  <Pages>14</Pages>
  <Words>5504</Words>
  <Characters>31379</Characters>
  <Application>Microsoft Office Word</Application>
  <DocSecurity>0</DocSecurity>
  <Lines>261</Lines>
  <Paragraphs>73</Paragraphs>
  <ScaleCrop>false</ScaleCrop>
  <Company>Kents Hill Road Family Doctors</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Katy Morson</cp:lastModifiedBy>
  <cp:revision>2</cp:revision>
  <cp:lastPrinted>2022-08-02T21:41:00Z</cp:lastPrinted>
  <dcterms:created xsi:type="dcterms:W3CDTF">2023-04-17T08:48:00Z</dcterms:created>
  <dcterms:modified xsi:type="dcterms:W3CDTF">2023-04-17T08:48:00Z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